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7FE" w:rsidRPr="004137FE" w:rsidRDefault="004137FE" w:rsidP="004137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ПРАВИТЕЛЬСТВО РОССИЙСКОЙ ФЕДЕРАЦИИ</w:t>
      </w:r>
    </w:p>
    <w:p w:rsidR="004137FE" w:rsidRPr="004137FE" w:rsidRDefault="004137FE" w:rsidP="004137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ПОСТАНОВЛЕНИЕ</w:t>
      </w:r>
    </w:p>
    <w:p w:rsidR="004137FE" w:rsidRPr="004137FE" w:rsidRDefault="004137FE" w:rsidP="004137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от 9 января 2014 года N 10</w:t>
      </w:r>
    </w:p>
    <w:p w:rsidR="004137FE" w:rsidRPr="004137FE" w:rsidRDefault="004137FE" w:rsidP="004137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О порядке сообщения отдельными категориями лиц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 </w:t>
      </w:r>
    </w:p>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br/>
      </w:r>
      <w:r w:rsidRPr="004137FE">
        <w:rPr>
          <w:rFonts w:ascii="Times New Roman" w:eastAsia="Times New Roman" w:hAnsi="Times New Roman" w:cs="Times New Roman"/>
          <w:sz w:val="24"/>
          <w:szCs w:val="24"/>
          <w:lang w:eastAsia="ru-RU"/>
        </w:rPr>
        <w:br/>
        <w:t xml:space="preserve">В соответствии с </w:t>
      </w:r>
      <w:hyperlink r:id="rId5" w:history="1">
        <w:r w:rsidRPr="004137FE">
          <w:rPr>
            <w:rFonts w:ascii="Times New Roman" w:eastAsia="Times New Roman" w:hAnsi="Times New Roman" w:cs="Times New Roman"/>
            <w:color w:val="0000FF"/>
            <w:sz w:val="24"/>
            <w:szCs w:val="24"/>
            <w:u w:val="single"/>
            <w:lang w:eastAsia="ru-RU"/>
          </w:rPr>
          <w:t>подпунктом "г" пункта 2 Национального плана противодействия коррупции на 2012-2013 годы</w:t>
        </w:r>
      </w:hyperlink>
      <w:r w:rsidRPr="004137FE">
        <w:rPr>
          <w:rFonts w:ascii="Times New Roman" w:eastAsia="Times New Roman" w:hAnsi="Times New Roman" w:cs="Times New Roman"/>
          <w:sz w:val="24"/>
          <w:szCs w:val="24"/>
          <w:lang w:eastAsia="ru-RU"/>
        </w:rPr>
        <w:t xml:space="preserve">, утвержденного </w:t>
      </w:r>
      <w:hyperlink r:id="rId6" w:history="1">
        <w:r w:rsidRPr="004137FE">
          <w:rPr>
            <w:rFonts w:ascii="Times New Roman" w:eastAsia="Times New Roman" w:hAnsi="Times New Roman" w:cs="Times New Roman"/>
            <w:color w:val="0000FF"/>
            <w:sz w:val="24"/>
            <w:szCs w:val="24"/>
            <w:u w:val="single"/>
            <w:lang w:eastAsia="ru-RU"/>
          </w:rPr>
          <w:t>Указом Президента Российской Федерации от 13 марта 2012 года N 297 "О Национальном плане противодействия коррупции на 2012-2013 годы и внесении изменений в некоторые акты Президента Российской Федерации по вопросам противодействия коррупции"</w:t>
        </w:r>
      </w:hyperlink>
      <w:r w:rsidRPr="004137FE">
        <w:rPr>
          <w:rFonts w:ascii="Times New Roman" w:eastAsia="Times New Roman" w:hAnsi="Times New Roman" w:cs="Times New Roman"/>
          <w:sz w:val="24"/>
          <w:szCs w:val="24"/>
          <w:lang w:eastAsia="ru-RU"/>
        </w:rPr>
        <w:t xml:space="preserve">, Правительство Российской Федерации </w:t>
      </w:r>
    </w:p>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постановляет:</w:t>
      </w:r>
    </w:p>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1. Утвердить прилагаемое </w:t>
      </w:r>
      <w:hyperlink r:id="rId7" w:history="1">
        <w:r w:rsidRPr="004137FE">
          <w:rPr>
            <w:rFonts w:ascii="Times New Roman" w:eastAsia="Times New Roman" w:hAnsi="Times New Roman" w:cs="Times New Roman"/>
            <w:color w:val="0000FF"/>
            <w:sz w:val="24"/>
            <w:szCs w:val="24"/>
            <w:u w:val="single"/>
            <w:lang w:eastAsia="ru-RU"/>
          </w:rPr>
          <w:t>Типовое положение о сообщении отдельными категориями лиц о получении подарка в связи с их должностным положением или исполнением ими служебных (должностных) обязанностей, сдаче и оценке подарка, реализации (выкупе) и зачислении средств, вырученных от его реализации</w:t>
        </w:r>
      </w:hyperlink>
      <w:r w:rsidRPr="004137FE">
        <w:rPr>
          <w:rFonts w:ascii="Times New Roman" w:eastAsia="Times New Roman" w:hAnsi="Times New Roman" w:cs="Times New Roman"/>
          <w:sz w:val="24"/>
          <w:szCs w:val="24"/>
          <w:lang w:eastAsia="ru-RU"/>
        </w:rPr>
        <w:t>.</w:t>
      </w:r>
    </w:p>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2. Установить, что федеральные государственные органы осуществляют прием подарков, полученных лицами, замещающими государственные должности Российской Федерации, и федеральными государственными служащими в связи с протокольными мероприятиями, служебными командировками и другими официальными мероприятиями, их оценку для принятия к бухгалтерскому учету, а также принимают решения о реализации указанных подарков.</w:t>
      </w:r>
    </w:p>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3. Реализация полномочий, предусмотренных настоящим постановлением, осуществляется в пределах установленной предельной численности федеральных государственных служащих, а также бюджетных ассигнований, предусмотренных федеральным государственным органам в федеральном бюджете на руководство и управление в сфере установленных функций.</w:t>
      </w:r>
    </w:p>
    <w:p w:rsidR="004137FE" w:rsidRPr="004137FE" w:rsidRDefault="004137FE" w:rsidP="004137FE">
      <w:pPr>
        <w:spacing w:before="100" w:beforeAutospacing="1" w:after="240"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4. Министерству труда и социальной защиты Российской Федерации давать разъяснения по вопросам, связанным с применением настоящего постановления.</w:t>
      </w:r>
    </w:p>
    <w:p w:rsidR="004137FE" w:rsidRPr="004137FE" w:rsidRDefault="004137FE" w:rsidP="004137FE">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Председатель Правительства</w:t>
      </w:r>
      <w:r w:rsidRPr="004137FE">
        <w:rPr>
          <w:rFonts w:ascii="Times New Roman" w:eastAsia="Times New Roman" w:hAnsi="Times New Roman" w:cs="Times New Roman"/>
          <w:sz w:val="24"/>
          <w:szCs w:val="24"/>
          <w:lang w:eastAsia="ru-RU"/>
        </w:rPr>
        <w:br/>
        <w:t>Российской Федерации</w:t>
      </w:r>
      <w:r w:rsidRPr="004137FE">
        <w:rPr>
          <w:rFonts w:ascii="Times New Roman" w:eastAsia="Times New Roman" w:hAnsi="Times New Roman" w:cs="Times New Roman"/>
          <w:sz w:val="24"/>
          <w:szCs w:val="24"/>
          <w:lang w:eastAsia="ru-RU"/>
        </w:rPr>
        <w:br/>
        <w:t>Д.Медведев</w:t>
      </w:r>
    </w:p>
    <w:p w:rsidR="004137FE" w:rsidRPr="004137FE" w:rsidRDefault="004137FE" w:rsidP="004137FE">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4137FE">
        <w:rPr>
          <w:rFonts w:ascii="Times New Roman" w:eastAsia="Times New Roman" w:hAnsi="Times New Roman" w:cs="Times New Roman"/>
          <w:b/>
          <w:bCs/>
          <w:sz w:val="36"/>
          <w:szCs w:val="36"/>
          <w:lang w:eastAsia="ru-RU"/>
        </w:rPr>
        <w:br/>
      </w:r>
      <w:r w:rsidRPr="004137FE">
        <w:rPr>
          <w:rFonts w:ascii="Times New Roman" w:eastAsia="Times New Roman" w:hAnsi="Times New Roman" w:cs="Times New Roman"/>
          <w:b/>
          <w:bCs/>
          <w:sz w:val="36"/>
          <w:szCs w:val="36"/>
          <w:lang w:eastAsia="ru-RU"/>
        </w:rPr>
        <w:br/>
        <w:t xml:space="preserve">Типовое положение о сообщении отдельными категориями лиц о получении подарка в связи с их должностным положением или исполнением ими </w:t>
      </w:r>
      <w:r w:rsidRPr="004137FE">
        <w:rPr>
          <w:rFonts w:ascii="Times New Roman" w:eastAsia="Times New Roman" w:hAnsi="Times New Roman" w:cs="Times New Roman"/>
          <w:b/>
          <w:bCs/>
          <w:sz w:val="36"/>
          <w:szCs w:val="36"/>
          <w:lang w:eastAsia="ru-RU"/>
        </w:rPr>
        <w:lastRenderedPageBreak/>
        <w:t xml:space="preserve">служебных (должностных) обязанностей, сдаче и оценке подарка, реализации (выкупе) и зачислении средств, вырученных от его реализации </w:t>
      </w:r>
    </w:p>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p>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1. Настоящее Типовое положение определяет порядок сообщения лицами, замещающими государственные (муниципальные) должности, государственными (муниципальными) служащими, служащими Центрального банка Российской Федерации, работниками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а также организаций, созданных для выполнения задач, поставленных перед федеральными государственными органами (далее соответственно - лица, замещающие государственные (муниципальные) должности, служащие, работники),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 порядок сдачи и оценки подарка, реализации (выкупа) и зачисления средств, вырученных от его реализации.</w:t>
      </w:r>
    </w:p>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2. Для целей настоящего Типового положения используются следующие понятия:</w:t>
      </w:r>
      <w:r w:rsidRPr="004137FE">
        <w:rPr>
          <w:rFonts w:ascii="Times New Roman" w:eastAsia="Times New Roman" w:hAnsi="Times New Roman" w:cs="Times New Roman"/>
          <w:sz w:val="24"/>
          <w:szCs w:val="24"/>
          <w:lang w:eastAsia="ru-RU"/>
        </w:rPr>
        <w:br/>
      </w:r>
      <w:r w:rsidRPr="004137FE">
        <w:rPr>
          <w:rFonts w:ascii="Times New Roman" w:eastAsia="Times New Roman" w:hAnsi="Times New Roman" w:cs="Times New Roman"/>
          <w:sz w:val="24"/>
          <w:szCs w:val="24"/>
          <w:lang w:eastAsia="ru-RU"/>
        </w:rPr>
        <w:br/>
        <w:t>"подарок, полученный в связи с протокольными мероприятиями, служебными командировками и другими официальными мероприятиями" - подарок, полученный лицом, замещающим государственную (муниципальную) должность, служащим, работником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(должностных) обязанностей, цветов и ценных подарков, которые вручены в качестве поощрения (награды);</w:t>
      </w:r>
      <w:r w:rsidRPr="004137FE">
        <w:rPr>
          <w:rFonts w:ascii="Times New Roman" w:eastAsia="Times New Roman" w:hAnsi="Times New Roman" w:cs="Times New Roman"/>
          <w:sz w:val="24"/>
          <w:szCs w:val="24"/>
          <w:lang w:eastAsia="ru-RU"/>
        </w:rPr>
        <w:br/>
      </w:r>
      <w:r w:rsidRPr="004137FE">
        <w:rPr>
          <w:rFonts w:ascii="Times New Roman" w:eastAsia="Times New Roman" w:hAnsi="Times New Roman" w:cs="Times New Roman"/>
          <w:sz w:val="24"/>
          <w:szCs w:val="24"/>
          <w:lang w:eastAsia="ru-RU"/>
        </w:rPr>
        <w:br/>
        <w:t>"получение подарка в связи с должностным положением или в связи с исполнением служебных (должностных) обязанностей" - получение лицом, замещающим государственную (муниципальную) должность, служащим, работником лично или через посредника от физических (юридических) лиц подарка в рамках осуществления деятельности, предусмотренной должностным регламентом (должностной инструкцией), а также в связи с исполнением служебных (должностных) обязанностей в случаях, установленных федеральными законами и иными нормативными актами, определяющими особенности правового положения и специфику профессиональной служебной и трудовой деятельности указанных лиц.</w:t>
      </w:r>
    </w:p>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3. Лица, замещающие государственные (муниципальные) должности, служащие, работники не вправе получать не предусмотренные законодательством Российской Федерации подарки от физических (юридических) лиц в связи с их должностным положением или исполнением ими служебных (должностных) обязанностей.</w:t>
      </w:r>
    </w:p>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4. Лица, замещающие государственные (муниципальные) должности, служащие, работники обязаны в порядке, предусмотренном настоящим Типовым положением, уведомлять обо всех случаях получения подарка в связи с их должностным положением или исполнением ими служебных (должностных) обязанностей государственный (муниципальный) орган, фонд </w:t>
      </w:r>
      <w:r w:rsidRPr="004137FE">
        <w:rPr>
          <w:rFonts w:ascii="Times New Roman" w:eastAsia="Times New Roman" w:hAnsi="Times New Roman" w:cs="Times New Roman"/>
          <w:sz w:val="24"/>
          <w:szCs w:val="24"/>
          <w:lang w:eastAsia="ru-RU"/>
        </w:rPr>
        <w:lastRenderedPageBreak/>
        <w:t>или иную организацию, в которых указанные лица проходят государственную (муниципальную) службу или осуществляют трудовую деятельность.</w:t>
      </w:r>
    </w:p>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5. Уведомление о получении подарка в связи с должностным положением или исполнением служебных (должностных) обязанностей (далее - уведомление), составленное согласно </w:t>
      </w:r>
      <w:hyperlink r:id="rId8" w:history="1">
        <w:r w:rsidRPr="004137FE">
          <w:rPr>
            <w:rFonts w:ascii="Times New Roman" w:eastAsia="Times New Roman" w:hAnsi="Times New Roman" w:cs="Times New Roman"/>
            <w:color w:val="0000FF"/>
            <w:sz w:val="24"/>
            <w:szCs w:val="24"/>
            <w:u w:val="single"/>
            <w:lang w:eastAsia="ru-RU"/>
          </w:rPr>
          <w:t>приложению</w:t>
        </w:r>
      </w:hyperlink>
      <w:r w:rsidRPr="004137FE">
        <w:rPr>
          <w:rFonts w:ascii="Times New Roman" w:eastAsia="Times New Roman" w:hAnsi="Times New Roman" w:cs="Times New Roman"/>
          <w:sz w:val="24"/>
          <w:szCs w:val="24"/>
          <w:lang w:eastAsia="ru-RU"/>
        </w:rPr>
        <w:t>, представляется не позднее 3 рабочих дней со дня получения подарка в уполномоченное структурное подразделение (уполномоченную организацию) государственного (муниципального) органа, фонда или иной организации, в которых лицо, замещающее государственную (муниципальную) должность, служащий, работник проходят государственную (муниципальную) службу или осуществляют трудовую деятельность (далее - уполномоченное структурное подразделение (уполномоченная организация). К уведомлению прилагаются документы (при их наличии), подтверждающие стоимость подарка (кассовый чек, товарный чек, иной документ об оплате (приобретении) подарка).</w:t>
      </w:r>
      <w:r w:rsidRPr="004137FE">
        <w:rPr>
          <w:rFonts w:ascii="Times New Roman" w:eastAsia="Times New Roman" w:hAnsi="Times New Roman" w:cs="Times New Roman"/>
          <w:sz w:val="24"/>
          <w:szCs w:val="24"/>
          <w:lang w:eastAsia="ru-RU"/>
        </w:rPr>
        <w:br/>
      </w:r>
      <w:r w:rsidRPr="004137FE">
        <w:rPr>
          <w:rFonts w:ascii="Times New Roman" w:eastAsia="Times New Roman" w:hAnsi="Times New Roman" w:cs="Times New Roman"/>
          <w:sz w:val="24"/>
          <w:szCs w:val="24"/>
          <w:lang w:eastAsia="ru-RU"/>
        </w:rPr>
        <w:br/>
        <w:t>В случае если подарок получен во время служебной командировки, уведомление представляется не позднее 3 рабочих дней со дня возвращения лица, получившего подарок, из служебной командировки.</w:t>
      </w:r>
      <w:r w:rsidRPr="004137FE">
        <w:rPr>
          <w:rFonts w:ascii="Times New Roman" w:eastAsia="Times New Roman" w:hAnsi="Times New Roman" w:cs="Times New Roman"/>
          <w:sz w:val="24"/>
          <w:szCs w:val="24"/>
          <w:lang w:eastAsia="ru-RU"/>
        </w:rPr>
        <w:br/>
      </w:r>
      <w:r w:rsidRPr="004137FE">
        <w:rPr>
          <w:rFonts w:ascii="Times New Roman" w:eastAsia="Times New Roman" w:hAnsi="Times New Roman" w:cs="Times New Roman"/>
          <w:sz w:val="24"/>
          <w:szCs w:val="24"/>
          <w:lang w:eastAsia="ru-RU"/>
        </w:rPr>
        <w:br/>
        <w:t>При невозможности подачи уведомления в сроки, указанные в абзацах первом и втором настоящего пункта, по причине, не зависящей от лица, замещающего государственную (муниципальную) должность, служащего, работника, оно представляется не позднее следующего дня после ее устранения.</w:t>
      </w:r>
    </w:p>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6. Уведомление составляется в 2 экземплярах, один из которых возвращается лицу, представившему уведомление, с отметкой о регистрации, другой экземпляр направляется в комиссию по поступлению и выбытию активов государственного (муниципального) органа или соответствующий коллегиальный орган фонда или иной организации (уполномоченной организации), образованные в соответствии с законодательством о бухгалтерском учете (далее - комиссия или коллегиальный орган).</w:t>
      </w:r>
    </w:p>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7. Подарок, стоимость которого подтверждается документами и превышает 3 тыс. рублей либо стоимость которого получившим его служащему, работнику неизвестна, сдается ответственному лицу уполномоченного структурного подразделения (уполномоченной организации), которое принимает его на хранение по акту приема-передачи не позднее 5 рабочих дней со дня регистрации уведомления в соответствующем журнале регистрации.</w:t>
      </w:r>
    </w:p>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8. Подарок, полученный лицом, замещающим государственную (муниципальную) должность, независимо от его стоимости, подлежит передаче на хранение в порядке, предусмотренном </w:t>
      </w:r>
      <w:hyperlink r:id="rId9" w:history="1">
        <w:r w:rsidRPr="004137FE">
          <w:rPr>
            <w:rFonts w:ascii="Times New Roman" w:eastAsia="Times New Roman" w:hAnsi="Times New Roman" w:cs="Times New Roman"/>
            <w:color w:val="0000FF"/>
            <w:sz w:val="24"/>
            <w:szCs w:val="24"/>
            <w:u w:val="single"/>
            <w:lang w:eastAsia="ru-RU"/>
          </w:rPr>
          <w:t>пунктом 7 настоящего Типового положения</w:t>
        </w:r>
      </w:hyperlink>
      <w:r w:rsidRPr="004137FE">
        <w:rPr>
          <w:rFonts w:ascii="Times New Roman" w:eastAsia="Times New Roman" w:hAnsi="Times New Roman" w:cs="Times New Roman"/>
          <w:sz w:val="24"/>
          <w:szCs w:val="24"/>
          <w:lang w:eastAsia="ru-RU"/>
        </w:rPr>
        <w:t>.</w:t>
      </w:r>
    </w:p>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9. До передачи подарка по акту приема-передачи ответственность в соответствии с законодательством Российской Федерации за утрату или повреждение подарка несет лицо, получившее подарок.</w:t>
      </w:r>
    </w:p>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10. В целях принятия к бухгалтерскому учету подарка в порядке, установленном законодательством Российской Федерации, определение его стоимости проводится на основе рыночной цены, действующей на дату принятия к учету подарка, или цены на аналогичную материальную ценность в сопоставимых условиях с привлечением при необходимости комиссии или коллегиального органа. Сведения о рыночной цене подтверждаются документально, а при невозможности документального подтверждения - экспертным путем. Подарок возвращается сдавшему его лицу по акту приема-передачи в случае, если его стоимость не превышает 3 тыс. рублей.</w:t>
      </w:r>
    </w:p>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lastRenderedPageBreak/>
        <w:t>11. Уполномоченное структурное подразделение (уполномоченная организация) обеспечивает включение в установленном порядке принятого к бухгалтерскому учету подарка, стоимость которого превышает 3 тыс. рублей, в реестр федерального имущества или соответствующий реестр субъекта Российской Федерации (реестр муниципального образования).</w:t>
      </w:r>
    </w:p>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12. Лицо, замещающее государственную (муниципальную) должность, служащий, работник, сдавшие подарок, могут его выкупить, направив на имя представителя нанимателя (работодателя) соответствующее заявление не позднее двух месяцев со дня сдачи подарка.</w:t>
      </w:r>
    </w:p>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13. Уполномоченное структурное подразделение (уполномоченная организация) в течение 3 месяцев со дня поступления заявления, указанного в </w:t>
      </w:r>
      <w:hyperlink r:id="rId10" w:history="1">
        <w:r w:rsidRPr="004137FE">
          <w:rPr>
            <w:rFonts w:ascii="Times New Roman" w:eastAsia="Times New Roman" w:hAnsi="Times New Roman" w:cs="Times New Roman"/>
            <w:color w:val="0000FF"/>
            <w:sz w:val="24"/>
            <w:szCs w:val="24"/>
            <w:u w:val="single"/>
            <w:lang w:eastAsia="ru-RU"/>
          </w:rPr>
          <w:t>пункте 12 настоящего Типового положения</w:t>
        </w:r>
      </w:hyperlink>
      <w:r w:rsidRPr="004137FE">
        <w:rPr>
          <w:rFonts w:ascii="Times New Roman" w:eastAsia="Times New Roman" w:hAnsi="Times New Roman" w:cs="Times New Roman"/>
          <w:sz w:val="24"/>
          <w:szCs w:val="24"/>
          <w:lang w:eastAsia="ru-RU"/>
        </w:rPr>
        <w:t>, организует оценку стоимости подарка для реализации (выкупа) и уведомляет в письменной форме лицо, подавшее заявление, о результатах оценки, после чего в течение месяца заявитель выкупает подарок по установленной в результате оценки стоимости или отказывается от выкупа.</w:t>
      </w:r>
    </w:p>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14. Подарок, в отношении которого не поступило заявление, указанное в </w:t>
      </w:r>
      <w:hyperlink r:id="rId11" w:history="1">
        <w:r w:rsidRPr="004137FE">
          <w:rPr>
            <w:rFonts w:ascii="Times New Roman" w:eastAsia="Times New Roman" w:hAnsi="Times New Roman" w:cs="Times New Roman"/>
            <w:color w:val="0000FF"/>
            <w:sz w:val="24"/>
            <w:szCs w:val="24"/>
            <w:u w:val="single"/>
            <w:lang w:eastAsia="ru-RU"/>
          </w:rPr>
          <w:t>пункте 12 настоящего Типового положения</w:t>
        </w:r>
      </w:hyperlink>
      <w:r w:rsidRPr="004137FE">
        <w:rPr>
          <w:rFonts w:ascii="Times New Roman" w:eastAsia="Times New Roman" w:hAnsi="Times New Roman" w:cs="Times New Roman"/>
          <w:sz w:val="24"/>
          <w:szCs w:val="24"/>
          <w:lang w:eastAsia="ru-RU"/>
        </w:rPr>
        <w:t>, может использоваться государственным (муниципальным) органом, фондом или иной организацией с учетом заключения комиссии или коллегиального органа о целесообразности использования подарка для обеспечения деятельности государственного (муниципального) органа, фонда или иной организации.</w:t>
      </w:r>
    </w:p>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15. В случае нецелесообразности использования подарка руководителем государственного (муниципального) органа, фонда или иной организации принимается решение о реализации подарка и проведении оценки его стоимости для реализации (выкупа), осуществляемой уполномоченными государственными (муниципальными) органами и организациями посредством проведения торгов в порядке, предусмотренном законодательством Российской Федерации.</w:t>
      </w:r>
    </w:p>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16. Оценка стоимости подарка для реализации (выкупа), предусмотренная </w:t>
      </w:r>
      <w:hyperlink r:id="rId12" w:history="1">
        <w:r w:rsidRPr="004137FE">
          <w:rPr>
            <w:rFonts w:ascii="Times New Roman" w:eastAsia="Times New Roman" w:hAnsi="Times New Roman" w:cs="Times New Roman"/>
            <w:color w:val="0000FF"/>
            <w:sz w:val="24"/>
            <w:szCs w:val="24"/>
            <w:u w:val="single"/>
            <w:lang w:eastAsia="ru-RU"/>
          </w:rPr>
          <w:t>пунктами 13</w:t>
        </w:r>
      </w:hyperlink>
      <w:r w:rsidRPr="004137FE">
        <w:rPr>
          <w:rFonts w:ascii="Times New Roman" w:eastAsia="Times New Roman" w:hAnsi="Times New Roman" w:cs="Times New Roman"/>
          <w:sz w:val="24"/>
          <w:szCs w:val="24"/>
          <w:lang w:eastAsia="ru-RU"/>
        </w:rPr>
        <w:t xml:space="preserve"> и </w:t>
      </w:r>
      <w:hyperlink r:id="rId13" w:history="1">
        <w:r w:rsidRPr="004137FE">
          <w:rPr>
            <w:rFonts w:ascii="Times New Roman" w:eastAsia="Times New Roman" w:hAnsi="Times New Roman" w:cs="Times New Roman"/>
            <w:color w:val="0000FF"/>
            <w:sz w:val="24"/>
            <w:szCs w:val="24"/>
            <w:u w:val="single"/>
            <w:lang w:eastAsia="ru-RU"/>
          </w:rPr>
          <w:t>15 настоящего Типового положения</w:t>
        </w:r>
      </w:hyperlink>
      <w:r w:rsidRPr="004137FE">
        <w:rPr>
          <w:rFonts w:ascii="Times New Roman" w:eastAsia="Times New Roman" w:hAnsi="Times New Roman" w:cs="Times New Roman"/>
          <w:sz w:val="24"/>
          <w:szCs w:val="24"/>
          <w:lang w:eastAsia="ru-RU"/>
        </w:rPr>
        <w:t>, осуществляется субъектами оценочной деятельности в соответствии с законодательством Российской Федерации об оценочной деятельности.</w:t>
      </w:r>
    </w:p>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17. В случае если подарок не выкуплен или не реализован, руководителем государственного (муниципального) органа, фонда или иной организации принимается решение о повторной реализации подарка, либо о его безвозмездной передаче на баланс благотворительной организации, либо о его уничтожении в соответствии с законодательством Российской Федерации.</w:t>
      </w:r>
    </w:p>
    <w:p w:rsidR="004137FE" w:rsidRPr="004137FE" w:rsidRDefault="004137FE" w:rsidP="004137FE">
      <w:pPr>
        <w:spacing w:before="100" w:beforeAutospacing="1" w:after="240"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18. Средства, вырученные от реализации (выкупа) подарка, зачисляются в доход соответствующего бюджета в порядке, установленном бюджетным законодательством Российской Федерации.</w:t>
      </w:r>
    </w:p>
    <w:p w:rsidR="004137FE" w:rsidRPr="004137FE" w:rsidRDefault="004137FE" w:rsidP="004137F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137FE">
        <w:rPr>
          <w:rFonts w:ascii="Times New Roman" w:eastAsia="Times New Roman" w:hAnsi="Times New Roman" w:cs="Times New Roman"/>
          <w:b/>
          <w:bCs/>
          <w:sz w:val="27"/>
          <w:szCs w:val="27"/>
          <w:lang w:eastAsia="ru-RU"/>
        </w:rPr>
        <w:t>Приложение к Типовому положению. Уведомление о получении подарка</w:t>
      </w:r>
    </w:p>
    <w:p w:rsidR="004137FE" w:rsidRPr="004137FE" w:rsidRDefault="004137FE" w:rsidP="004137FE">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Приложение</w:t>
      </w:r>
      <w:r w:rsidRPr="004137FE">
        <w:rPr>
          <w:rFonts w:ascii="Times New Roman" w:eastAsia="Times New Roman" w:hAnsi="Times New Roman" w:cs="Times New Roman"/>
          <w:sz w:val="24"/>
          <w:szCs w:val="24"/>
          <w:lang w:eastAsia="ru-RU"/>
        </w:rPr>
        <w:br/>
        <w:t>к Типовому положению о сообщении</w:t>
      </w:r>
      <w:r w:rsidRPr="004137FE">
        <w:rPr>
          <w:rFonts w:ascii="Times New Roman" w:eastAsia="Times New Roman" w:hAnsi="Times New Roman" w:cs="Times New Roman"/>
          <w:sz w:val="24"/>
          <w:szCs w:val="24"/>
          <w:lang w:eastAsia="ru-RU"/>
        </w:rPr>
        <w:br/>
        <w:t>отдельными категориями лиц</w:t>
      </w:r>
      <w:r w:rsidRPr="004137FE">
        <w:rPr>
          <w:rFonts w:ascii="Times New Roman" w:eastAsia="Times New Roman" w:hAnsi="Times New Roman" w:cs="Times New Roman"/>
          <w:sz w:val="24"/>
          <w:szCs w:val="24"/>
          <w:lang w:eastAsia="ru-RU"/>
        </w:rPr>
        <w:br/>
        <w:t>о получении подарка в связи</w:t>
      </w:r>
      <w:r w:rsidRPr="004137FE">
        <w:rPr>
          <w:rFonts w:ascii="Times New Roman" w:eastAsia="Times New Roman" w:hAnsi="Times New Roman" w:cs="Times New Roman"/>
          <w:sz w:val="24"/>
          <w:szCs w:val="24"/>
          <w:lang w:eastAsia="ru-RU"/>
        </w:rPr>
        <w:br/>
        <w:t>с их должностным положением</w:t>
      </w:r>
      <w:r w:rsidRPr="004137FE">
        <w:rPr>
          <w:rFonts w:ascii="Times New Roman" w:eastAsia="Times New Roman" w:hAnsi="Times New Roman" w:cs="Times New Roman"/>
          <w:sz w:val="24"/>
          <w:szCs w:val="24"/>
          <w:lang w:eastAsia="ru-RU"/>
        </w:rPr>
        <w:br/>
        <w:t>или исполнением ими</w:t>
      </w:r>
      <w:r w:rsidRPr="004137FE">
        <w:rPr>
          <w:rFonts w:ascii="Times New Roman" w:eastAsia="Times New Roman" w:hAnsi="Times New Roman" w:cs="Times New Roman"/>
          <w:sz w:val="24"/>
          <w:szCs w:val="24"/>
          <w:lang w:eastAsia="ru-RU"/>
        </w:rPr>
        <w:br/>
        <w:t>служебных (должностных) обязанностей,</w:t>
      </w:r>
      <w:r w:rsidRPr="004137FE">
        <w:rPr>
          <w:rFonts w:ascii="Times New Roman" w:eastAsia="Times New Roman" w:hAnsi="Times New Roman" w:cs="Times New Roman"/>
          <w:sz w:val="24"/>
          <w:szCs w:val="24"/>
          <w:lang w:eastAsia="ru-RU"/>
        </w:rPr>
        <w:br/>
      </w:r>
      <w:r w:rsidRPr="004137FE">
        <w:rPr>
          <w:rFonts w:ascii="Times New Roman" w:eastAsia="Times New Roman" w:hAnsi="Times New Roman" w:cs="Times New Roman"/>
          <w:sz w:val="24"/>
          <w:szCs w:val="24"/>
          <w:lang w:eastAsia="ru-RU"/>
        </w:rPr>
        <w:lastRenderedPageBreak/>
        <w:t>сдаче и оценке подарка, реализации</w:t>
      </w:r>
      <w:r w:rsidRPr="004137FE">
        <w:rPr>
          <w:rFonts w:ascii="Times New Roman" w:eastAsia="Times New Roman" w:hAnsi="Times New Roman" w:cs="Times New Roman"/>
          <w:sz w:val="24"/>
          <w:szCs w:val="24"/>
          <w:lang w:eastAsia="ru-RU"/>
        </w:rPr>
        <w:br/>
        <w:t>(выкупе) и зачислении средств,</w:t>
      </w:r>
      <w:r w:rsidRPr="004137FE">
        <w:rPr>
          <w:rFonts w:ascii="Times New Roman" w:eastAsia="Times New Roman" w:hAnsi="Times New Roman" w:cs="Times New Roman"/>
          <w:sz w:val="24"/>
          <w:szCs w:val="24"/>
          <w:lang w:eastAsia="ru-RU"/>
        </w:rPr>
        <w:br/>
        <w:t xml:space="preserve">вырученных от его реализации </w:t>
      </w:r>
    </w:p>
    <w:p w:rsidR="004137FE" w:rsidRPr="004137FE" w:rsidRDefault="004137FE" w:rsidP="004137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br/>
      </w:r>
      <w:r w:rsidRPr="004137FE">
        <w:rPr>
          <w:rFonts w:ascii="Times New Roman" w:eastAsia="Times New Roman" w:hAnsi="Times New Roman" w:cs="Times New Roman"/>
          <w:sz w:val="24"/>
          <w:szCs w:val="24"/>
          <w:lang w:eastAsia="ru-RU"/>
        </w:rPr>
        <w:br/>
        <w:t xml:space="preserve">Уведомление о получении подарка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65"/>
        <w:gridCol w:w="584"/>
        <w:gridCol w:w="3879"/>
      </w:tblGrid>
      <w:tr w:rsidR="004137FE" w:rsidRPr="004137FE" w:rsidTr="004137FE">
        <w:trPr>
          <w:trHeight w:val="15"/>
          <w:tblCellSpacing w:w="15" w:type="dxa"/>
        </w:trPr>
        <w:tc>
          <w:tcPr>
            <w:tcW w:w="5729"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554"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4066"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r>
      <w:tr w:rsidR="004137FE" w:rsidRPr="004137FE" w:rsidTr="004137FE">
        <w:trPr>
          <w:tblCellSpacing w:w="15" w:type="dxa"/>
        </w:trPr>
        <w:tc>
          <w:tcPr>
            <w:tcW w:w="5729"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4620" w:type="dxa"/>
            <w:gridSpan w:val="2"/>
            <w:tcBorders>
              <w:top w:val="nil"/>
              <w:left w:val="nil"/>
              <w:bottom w:val="single" w:sz="6" w:space="0" w:color="000000"/>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r>
      <w:tr w:rsidR="004137FE" w:rsidRPr="004137FE" w:rsidTr="004137FE">
        <w:trPr>
          <w:tblCellSpacing w:w="15" w:type="dxa"/>
        </w:trPr>
        <w:tc>
          <w:tcPr>
            <w:tcW w:w="5729"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4620" w:type="dxa"/>
            <w:gridSpan w:val="2"/>
            <w:tcBorders>
              <w:top w:val="single" w:sz="6" w:space="0" w:color="000000"/>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(наименование уполномоченного </w:t>
            </w:r>
          </w:p>
        </w:tc>
      </w:tr>
      <w:tr w:rsidR="004137FE" w:rsidRPr="004137FE" w:rsidTr="004137FE">
        <w:trPr>
          <w:tblCellSpacing w:w="15" w:type="dxa"/>
        </w:trPr>
        <w:tc>
          <w:tcPr>
            <w:tcW w:w="5729"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4620" w:type="dxa"/>
            <w:gridSpan w:val="2"/>
            <w:tcBorders>
              <w:top w:val="nil"/>
              <w:left w:val="nil"/>
              <w:bottom w:val="single" w:sz="6" w:space="0" w:color="000000"/>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r>
      <w:tr w:rsidR="004137FE" w:rsidRPr="004137FE" w:rsidTr="004137FE">
        <w:trPr>
          <w:tblCellSpacing w:w="15" w:type="dxa"/>
        </w:trPr>
        <w:tc>
          <w:tcPr>
            <w:tcW w:w="5729"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4620" w:type="dxa"/>
            <w:gridSpan w:val="2"/>
            <w:tcBorders>
              <w:top w:val="single" w:sz="6" w:space="0" w:color="000000"/>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структурного подразделения </w:t>
            </w:r>
          </w:p>
        </w:tc>
      </w:tr>
      <w:tr w:rsidR="004137FE" w:rsidRPr="004137FE" w:rsidTr="004137FE">
        <w:trPr>
          <w:tblCellSpacing w:w="15" w:type="dxa"/>
        </w:trPr>
        <w:tc>
          <w:tcPr>
            <w:tcW w:w="5729"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4620" w:type="dxa"/>
            <w:gridSpan w:val="2"/>
            <w:tcBorders>
              <w:top w:val="nil"/>
              <w:left w:val="nil"/>
              <w:bottom w:val="single" w:sz="6" w:space="0" w:color="000000"/>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r>
      <w:tr w:rsidR="004137FE" w:rsidRPr="004137FE" w:rsidTr="004137FE">
        <w:trPr>
          <w:tblCellSpacing w:w="15" w:type="dxa"/>
        </w:trPr>
        <w:tc>
          <w:tcPr>
            <w:tcW w:w="5729"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4620" w:type="dxa"/>
            <w:gridSpan w:val="2"/>
            <w:tcBorders>
              <w:top w:val="single" w:sz="6" w:space="0" w:color="000000"/>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государственного (муниципального) органа,</w:t>
            </w:r>
          </w:p>
        </w:tc>
      </w:tr>
      <w:tr w:rsidR="004137FE" w:rsidRPr="004137FE" w:rsidTr="004137FE">
        <w:trPr>
          <w:tblCellSpacing w:w="15" w:type="dxa"/>
        </w:trPr>
        <w:tc>
          <w:tcPr>
            <w:tcW w:w="5729"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4620" w:type="dxa"/>
            <w:gridSpan w:val="2"/>
            <w:tcBorders>
              <w:top w:val="nil"/>
              <w:left w:val="nil"/>
              <w:bottom w:val="single" w:sz="6" w:space="0" w:color="000000"/>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r>
      <w:tr w:rsidR="004137FE" w:rsidRPr="004137FE" w:rsidTr="004137FE">
        <w:trPr>
          <w:tblCellSpacing w:w="15" w:type="dxa"/>
        </w:trPr>
        <w:tc>
          <w:tcPr>
            <w:tcW w:w="5729"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4620" w:type="dxa"/>
            <w:gridSpan w:val="2"/>
            <w:tcBorders>
              <w:top w:val="single" w:sz="6" w:space="0" w:color="000000"/>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фонда или иной организации (уполномоченной организации)</w:t>
            </w:r>
          </w:p>
        </w:tc>
      </w:tr>
      <w:tr w:rsidR="004137FE" w:rsidRPr="004137FE" w:rsidTr="004137FE">
        <w:trPr>
          <w:tblCellSpacing w:w="15" w:type="dxa"/>
        </w:trPr>
        <w:tc>
          <w:tcPr>
            <w:tcW w:w="5729"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554"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от </w:t>
            </w:r>
          </w:p>
        </w:tc>
        <w:tc>
          <w:tcPr>
            <w:tcW w:w="4066" w:type="dxa"/>
            <w:tcBorders>
              <w:top w:val="nil"/>
              <w:left w:val="nil"/>
              <w:bottom w:val="single" w:sz="6" w:space="0" w:color="000000"/>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r>
      <w:tr w:rsidR="004137FE" w:rsidRPr="004137FE" w:rsidTr="004137FE">
        <w:trPr>
          <w:tblCellSpacing w:w="15" w:type="dxa"/>
        </w:trPr>
        <w:tc>
          <w:tcPr>
            <w:tcW w:w="5729"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4620" w:type="dxa"/>
            <w:gridSpan w:val="2"/>
            <w:tcBorders>
              <w:top w:val="nil"/>
              <w:left w:val="nil"/>
              <w:bottom w:val="single" w:sz="6" w:space="0" w:color="000000"/>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r>
      <w:tr w:rsidR="004137FE" w:rsidRPr="004137FE" w:rsidTr="004137FE">
        <w:trPr>
          <w:tblCellSpacing w:w="15" w:type="dxa"/>
        </w:trPr>
        <w:tc>
          <w:tcPr>
            <w:tcW w:w="5729"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4620" w:type="dxa"/>
            <w:gridSpan w:val="2"/>
            <w:tcBorders>
              <w:top w:val="single" w:sz="6" w:space="0" w:color="000000"/>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(ф.и.о., занимаемая должность)</w:t>
            </w:r>
          </w:p>
        </w:tc>
      </w:tr>
    </w:tbl>
    <w:p w:rsidR="004137FE" w:rsidRPr="004137FE" w:rsidRDefault="004137FE" w:rsidP="004137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br/>
      </w:r>
      <w:r w:rsidRPr="004137FE">
        <w:rPr>
          <w:rFonts w:ascii="Times New Roman" w:eastAsia="Times New Roman" w:hAnsi="Times New Roman" w:cs="Times New Roman"/>
          <w:sz w:val="24"/>
          <w:szCs w:val="24"/>
          <w:lang w:eastAsia="ru-RU"/>
        </w:rPr>
        <w:br/>
        <w:t xml:space="preserve">Уведомление о получении подарка от "____"__________20__г. </w:t>
      </w:r>
    </w:p>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59"/>
        <w:gridCol w:w="1529"/>
        <w:gridCol w:w="6340"/>
      </w:tblGrid>
      <w:tr w:rsidR="004137FE" w:rsidRPr="004137FE" w:rsidTr="004137FE">
        <w:trPr>
          <w:trHeight w:val="15"/>
          <w:tblCellSpacing w:w="15" w:type="dxa"/>
        </w:trPr>
        <w:tc>
          <w:tcPr>
            <w:tcW w:w="1848"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1663"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6838"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r>
      <w:tr w:rsidR="004137FE" w:rsidRPr="004137FE" w:rsidTr="004137FE">
        <w:trPr>
          <w:tblCellSpacing w:w="15" w:type="dxa"/>
        </w:trPr>
        <w:tc>
          <w:tcPr>
            <w:tcW w:w="3511" w:type="dxa"/>
            <w:gridSpan w:val="2"/>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Извещаю о получении </w:t>
            </w:r>
          </w:p>
        </w:tc>
        <w:tc>
          <w:tcPr>
            <w:tcW w:w="6838" w:type="dxa"/>
            <w:tcBorders>
              <w:top w:val="nil"/>
              <w:left w:val="nil"/>
              <w:bottom w:val="single" w:sz="6" w:space="0" w:color="000000"/>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r>
      <w:tr w:rsidR="004137FE" w:rsidRPr="004137FE" w:rsidTr="004137FE">
        <w:trPr>
          <w:tblCellSpacing w:w="15" w:type="dxa"/>
        </w:trPr>
        <w:tc>
          <w:tcPr>
            <w:tcW w:w="3511" w:type="dxa"/>
            <w:gridSpan w:val="2"/>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6838"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(дата получения)</w:t>
            </w:r>
          </w:p>
        </w:tc>
      </w:tr>
      <w:tr w:rsidR="004137FE" w:rsidRPr="004137FE" w:rsidTr="004137FE">
        <w:trPr>
          <w:tblCellSpacing w:w="15" w:type="dxa"/>
        </w:trPr>
        <w:tc>
          <w:tcPr>
            <w:tcW w:w="1848"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подарка(ов) на </w:t>
            </w:r>
          </w:p>
        </w:tc>
        <w:tc>
          <w:tcPr>
            <w:tcW w:w="8501" w:type="dxa"/>
            <w:gridSpan w:val="2"/>
            <w:tcBorders>
              <w:top w:val="nil"/>
              <w:left w:val="nil"/>
              <w:bottom w:val="single" w:sz="6" w:space="0" w:color="000000"/>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r>
      <w:tr w:rsidR="004137FE" w:rsidRPr="004137FE" w:rsidTr="004137FE">
        <w:trPr>
          <w:tblCellSpacing w:w="15" w:type="dxa"/>
        </w:trPr>
        <w:tc>
          <w:tcPr>
            <w:tcW w:w="10349" w:type="dxa"/>
            <w:gridSpan w:val="3"/>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(наименование протокольного мероприятия, служебной командировки, другого официального мероприятия, место и дата проведения)</w:t>
            </w:r>
          </w:p>
        </w:tc>
      </w:tr>
    </w:tbl>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69"/>
        <w:gridCol w:w="2485"/>
        <w:gridCol w:w="2390"/>
        <w:gridCol w:w="2384"/>
      </w:tblGrid>
      <w:tr w:rsidR="004137FE" w:rsidRPr="004137FE" w:rsidTr="004137FE">
        <w:trPr>
          <w:trHeight w:val="15"/>
          <w:tblCellSpacing w:w="15" w:type="dxa"/>
        </w:trPr>
        <w:tc>
          <w:tcPr>
            <w:tcW w:w="2587"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2587"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2587"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2587"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r>
      <w:tr w:rsidR="004137FE" w:rsidRPr="004137FE" w:rsidTr="004137FE">
        <w:trPr>
          <w:tblCellSpacing w:w="15" w:type="dxa"/>
        </w:trPr>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Наименование подарка </w:t>
            </w:r>
          </w:p>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Характеристика подарка, его описание </w:t>
            </w:r>
          </w:p>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Количество предметов </w:t>
            </w:r>
          </w:p>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Стоимость в рублях*</w:t>
            </w:r>
          </w:p>
        </w:tc>
      </w:tr>
      <w:tr w:rsidR="004137FE" w:rsidRPr="004137FE" w:rsidTr="004137FE">
        <w:trPr>
          <w:tblCellSpacing w:w="15" w:type="dxa"/>
        </w:trPr>
        <w:tc>
          <w:tcPr>
            <w:tcW w:w="2587" w:type="dxa"/>
            <w:tcBorders>
              <w:top w:val="single" w:sz="6" w:space="0" w:color="000000"/>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1.</w:t>
            </w:r>
          </w:p>
        </w:tc>
        <w:tc>
          <w:tcPr>
            <w:tcW w:w="2587" w:type="dxa"/>
            <w:tcBorders>
              <w:top w:val="single" w:sz="6" w:space="0" w:color="000000"/>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2587" w:type="dxa"/>
            <w:tcBorders>
              <w:top w:val="single" w:sz="6" w:space="0" w:color="000000"/>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2587" w:type="dxa"/>
            <w:tcBorders>
              <w:top w:val="single" w:sz="6" w:space="0" w:color="000000"/>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r>
      <w:tr w:rsidR="004137FE" w:rsidRPr="004137FE" w:rsidTr="004137FE">
        <w:trPr>
          <w:tblCellSpacing w:w="15" w:type="dxa"/>
        </w:trPr>
        <w:tc>
          <w:tcPr>
            <w:tcW w:w="2587"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2.</w:t>
            </w:r>
          </w:p>
        </w:tc>
        <w:tc>
          <w:tcPr>
            <w:tcW w:w="2587"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2587"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2587"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r>
      <w:tr w:rsidR="004137FE" w:rsidRPr="004137FE" w:rsidTr="004137FE">
        <w:trPr>
          <w:tblCellSpacing w:w="15" w:type="dxa"/>
        </w:trPr>
        <w:tc>
          <w:tcPr>
            <w:tcW w:w="2587"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3.</w:t>
            </w:r>
          </w:p>
        </w:tc>
        <w:tc>
          <w:tcPr>
            <w:tcW w:w="2587"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2587"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2587"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r>
      <w:tr w:rsidR="004137FE" w:rsidRPr="004137FE" w:rsidTr="004137FE">
        <w:trPr>
          <w:tblCellSpacing w:w="15" w:type="dxa"/>
        </w:trPr>
        <w:tc>
          <w:tcPr>
            <w:tcW w:w="2587"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Итого </w:t>
            </w:r>
          </w:p>
        </w:tc>
        <w:tc>
          <w:tcPr>
            <w:tcW w:w="2587"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2587"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2587"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r>
    </w:tbl>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________________</w:t>
      </w:r>
    </w:p>
    <w:p w:rsidR="004137FE" w:rsidRPr="004137FE" w:rsidRDefault="004137FE" w:rsidP="004137FE">
      <w:pPr>
        <w:spacing w:before="100" w:beforeAutospacing="1" w:after="240"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Заполняется при наличии документов, подтверждающих стоимость подарка.</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41"/>
        <w:gridCol w:w="584"/>
        <w:gridCol w:w="426"/>
        <w:gridCol w:w="372"/>
        <w:gridCol w:w="541"/>
        <w:gridCol w:w="515"/>
        <w:gridCol w:w="584"/>
        <w:gridCol w:w="317"/>
        <w:gridCol w:w="190"/>
        <w:gridCol w:w="178"/>
        <w:gridCol w:w="590"/>
        <w:gridCol w:w="754"/>
        <w:gridCol w:w="452"/>
        <w:gridCol w:w="387"/>
        <w:gridCol w:w="426"/>
        <w:gridCol w:w="423"/>
        <w:gridCol w:w="426"/>
        <w:gridCol w:w="322"/>
        <w:gridCol w:w="373"/>
        <w:gridCol w:w="568"/>
        <w:gridCol w:w="357"/>
        <w:gridCol w:w="502"/>
      </w:tblGrid>
      <w:tr w:rsidR="004137FE" w:rsidRPr="004137FE" w:rsidTr="004137FE">
        <w:trPr>
          <w:trHeight w:val="15"/>
          <w:tblCellSpacing w:w="15" w:type="dxa"/>
        </w:trPr>
        <w:tc>
          <w:tcPr>
            <w:tcW w:w="370"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554"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370"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554"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924"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554"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554"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370"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185"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185"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554"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739"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370"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370"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370"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554"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370"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554"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739"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370"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370"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c>
          <w:tcPr>
            <w:tcW w:w="370" w:type="dxa"/>
            <w:vAlign w:val="center"/>
            <w:hideMark/>
          </w:tcPr>
          <w:p w:rsidR="004137FE" w:rsidRPr="004137FE" w:rsidRDefault="004137FE" w:rsidP="004137FE">
            <w:pPr>
              <w:spacing w:after="0" w:line="240" w:lineRule="auto"/>
              <w:rPr>
                <w:rFonts w:ascii="Times New Roman" w:eastAsia="Times New Roman" w:hAnsi="Times New Roman" w:cs="Times New Roman"/>
                <w:sz w:val="2"/>
                <w:szCs w:val="24"/>
                <w:lang w:eastAsia="ru-RU"/>
              </w:rPr>
            </w:pPr>
          </w:p>
        </w:tc>
      </w:tr>
      <w:tr w:rsidR="004137FE" w:rsidRPr="004137FE" w:rsidTr="004137FE">
        <w:trPr>
          <w:tblCellSpacing w:w="15" w:type="dxa"/>
        </w:trPr>
        <w:tc>
          <w:tcPr>
            <w:tcW w:w="1848" w:type="dxa"/>
            <w:gridSpan w:val="4"/>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Приложение: </w:t>
            </w:r>
          </w:p>
        </w:tc>
        <w:tc>
          <w:tcPr>
            <w:tcW w:w="4066" w:type="dxa"/>
            <w:gridSpan w:val="8"/>
            <w:tcBorders>
              <w:top w:val="nil"/>
              <w:left w:val="nil"/>
              <w:bottom w:val="single" w:sz="6" w:space="0" w:color="000000"/>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739" w:type="dxa"/>
            <w:gridSpan w:val="2"/>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на </w:t>
            </w:r>
          </w:p>
        </w:tc>
        <w:tc>
          <w:tcPr>
            <w:tcW w:w="1848" w:type="dxa"/>
            <w:gridSpan w:val="4"/>
            <w:tcBorders>
              <w:top w:val="nil"/>
              <w:left w:val="nil"/>
              <w:bottom w:val="single" w:sz="6" w:space="0" w:color="000000"/>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1848" w:type="dxa"/>
            <w:gridSpan w:val="4"/>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листах.</w:t>
            </w:r>
          </w:p>
        </w:tc>
      </w:tr>
      <w:tr w:rsidR="004137FE" w:rsidRPr="004137FE" w:rsidTr="004137FE">
        <w:trPr>
          <w:tblCellSpacing w:w="15" w:type="dxa"/>
        </w:trPr>
        <w:tc>
          <w:tcPr>
            <w:tcW w:w="1848" w:type="dxa"/>
            <w:gridSpan w:val="4"/>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4066" w:type="dxa"/>
            <w:gridSpan w:val="8"/>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(наименование документа)</w:t>
            </w:r>
          </w:p>
        </w:tc>
        <w:tc>
          <w:tcPr>
            <w:tcW w:w="4435" w:type="dxa"/>
            <w:gridSpan w:val="10"/>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r>
      <w:tr w:rsidR="004137FE" w:rsidRPr="004137FE" w:rsidTr="004137FE">
        <w:trPr>
          <w:tblCellSpacing w:w="15" w:type="dxa"/>
        </w:trPr>
        <w:tc>
          <w:tcPr>
            <w:tcW w:w="2772" w:type="dxa"/>
            <w:gridSpan w:val="5"/>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Лицо, </w:t>
            </w:r>
            <w:r w:rsidRPr="004137FE">
              <w:rPr>
                <w:rFonts w:ascii="Times New Roman" w:eastAsia="Times New Roman" w:hAnsi="Times New Roman" w:cs="Times New Roman"/>
                <w:sz w:val="24"/>
                <w:szCs w:val="24"/>
                <w:lang w:eastAsia="ru-RU"/>
              </w:rPr>
              <w:lastRenderedPageBreak/>
              <w:t xml:space="preserve">представившее </w:t>
            </w:r>
          </w:p>
        </w:tc>
        <w:tc>
          <w:tcPr>
            <w:tcW w:w="1478" w:type="dxa"/>
            <w:gridSpan w:val="3"/>
            <w:tcBorders>
              <w:top w:val="nil"/>
              <w:left w:val="nil"/>
              <w:bottom w:val="single" w:sz="6" w:space="0" w:color="000000"/>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gridSpan w:val="2"/>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1663" w:type="dxa"/>
            <w:gridSpan w:val="3"/>
            <w:tcBorders>
              <w:top w:val="nil"/>
              <w:left w:val="nil"/>
              <w:bottom w:val="single" w:sz="6" w:space="0" w:color="000000"/>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w:t>
            </w:r>
          </w:p>
        </w:tc>
        <w:tc>
          <w:tcPr>
            <w:tcW w:w="554" w:type="dxa"/>
            <w:tcBorders>
              <w:top w:val="nil"/>
              <w:left w:val="nil"/>
              <w:bottom w:val="single" w:sz="6" w:space="0" w:color="000000"/>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w:t>
            </w:r>
          </w:p>
        </w:tc>
        <w:tc>
          <w:tcPr>
            <w:tcW w:w="1294" w:type="dxa"/>
            <w:gridSpan w:val="2"/>
            <w:tcBorders>
              <w:top w:val="nil"/>
              <w:left w:val="nil"/>
              <w:bottom w:val="single" w:sz="6" w:space="0" w:color="000000"/>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20 </w:t>
            </w:r>
          </w:p>
        </w:tc>
        <w:tc>
          <w:tcPr>
            <w:tcW w:w="370" w:type="dxa"/>
            <w:tcBorders>
              <w:top w:val="nil"/>
              <w:left w:val="nil"/>
              <w:bottom w:val="single" w:sz="6" w:space="0" w:color="000000"/>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г.</w:t>
            </w:r>
          </w:p>
        </w:tc>
      </w:tr>
      <w:tr w:rsidR="004137FE" w:rsidRPr="004137FE" w:rsidTr="004137FE">
        <w:trPr>
          <w:tblCellSpacing w:w="15" w:type="dxa"/>
        </w:trPr>
        <w:tc>
          <w:tcPr>
            <w:tcW w:w="2772" w:type="dxa"/>
            <w:gridSpan w:val="5"/>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lastRenderedPageBreak/>
              <w:t xml:space="preserve">уведомление </w:t>
            </w:r>
          </w:p>
        </w:tc>
        <w:tc>
          <w:tcPr>
            <w:tcW w:w="1478" w:type="dxa"/>
            <w:gridSpan w:val="3"/>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(подпись)</w:t>
            </w:r>
          </w:p>
        </w:tc>
        <w:tc>
          <w:tcPr>
            <w:tcW w:w="370" w:type="dxa"/>
            <w:gridSpan w:val="2"/>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1663" w:type="dxa"/>
            <w:gridSpan w:val="3"/>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(расшифровка подписи)</w:t>
            </w:r>
          </w:p>
        </w:tc>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554"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1294" w:type="dxa"/>
            <w:gridSpan w:val="2"/>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r>
      <w:tr w:rsidR="004137FE" w:rsidRPr="004137FE" w:rsidTr="004137FE">
        <w:trPr>
          <w:tblCellSpacing w:w="15" w:type="dxa"/>
        </w:trPr>
        <w:tc>
          <w:tcPr>
            <w:tcW w:w="2772" w:type="dxa"/>
            <w:gridSpan w:val="5"/>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1478" w:type="dxa"/>
            <w:gridSpan w:val="3"/>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gridSpan w:val="2"/>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1663" w:type="dxa"/>
            <w:gridSpan w:val="3"/>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554"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1294" w:type="dxa"/>
            <w:gridSpan w:val="2"/>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r>
      <w:tr w:rsidR="004137FE" w:rsidRPr="004137FE" w:rsidTr="004137FE">
        <w:trPr>
          <w:tblCellSpacing w:w="15" w:type="dxa"/>
        </w:trPr>
        <w:tc>
          <w:tcPr>
            <w:tcW w:w="2772" w:type="dxa"/>
            <w:gridSpan w:val="5"/>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Лицо, принявшее </w:t>
            </w:r>
          </w:p>
        </w:tc>
        <w:tc>
          <w:tcPr>
            <w:tcW w:w="1478" w:type="dxa"/>
            <w:gridSpan w:val="3"/>
            <w:tcBorders>
              <w:top w:val="nil"/>
              <w:left w:val="nil"/>
              <w:bottom w:val="single" w:sz="6" w:space="0" w:color="000000"/>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gridSpan w:val="2"/>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1663" w:type="dxa"/>
            <w:gridSpan w:val="3"/>
            <w:tcBorders>
              <w:top w:val="nil"/>
              <w:left w:val="nil"/>
              <w:bottom w:val="single" w:sz="6" w:space="0" w:color="000000"/>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w:t>
            </w:r>
          </w:p>
        </w:tc>
        <w:tc>
          <w:tcPr>
            <w:tcW w:w="554" w:type="dxa"/>
            <w:tcBorders>
              <w:top w:val="nil"/>
              <w:left w:val="nil"/>
              <w:bottom w:val="single" w:sz="6" w:space="0" w:color="000000"/>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w:t>
            </w:r>
          </w:p>
        </w:tc>
        <w:tc>
          <w:tcPr>
            <w:tcW w:w="1294" w:type="dxa"/>
            <w:gridSpan w:val="2"/>
            <w:tcBorders>
              <w:top w:val="nil"/>
              <w:left w:val="nil"/>
              <w:bottom w:val="single" w:sz="6" w:space="0" w:color="000000"/>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20 </w:t>
            </w:r>
          </w:p>
        </w:tc>
        <w:tc>
          <w:tcPr>
            <w:tcW w:w="370" w:type="dxa"/>
            <w:tcBorders>
              <w:top w:val="nil"/>
              <w:left w:val="nil"/>
              <w:bottom w:val="single" w:sz="6" w:space="0" w:color="000000"/>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г.</w:t>
            </w:r>
          </w:p>
        </w:tc>
      </w:tr>
      <w:tr w:rsidR="004137FE" w:rsidRPr="004137FE" w:rsidTr="004137FE">
        <w:trPr>
          <w:tblCellSpacing w:w="15" w:type="dxa"/>
        </w:trPr>
        <w:tc>
          <w:tcPr>
            <w:tcW w:w="2772" w:type="dxa"/>
            <w:gridSpan w:val="5"/>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уведомление </w:t>
            </w:r>
          </w:p>
        </w:tc>
        <w:tc>
          <w:tcPr>
            <w:tcW w:w="1478" w:type="dxa"/>
            <w:gridSpan w:val="3"/>
            <w:tcBorders>
              <w:top w:val="single" w:sz="6" w:space="0" w:color="000000"/>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(подпись)</w:t>
            </w:r>
          </w:p>
        </w:tc>
        <w:tc>
          <w:tcPr>
            <w:tcW w:w="370" w:type="dxa"/>
            <w:gridSpan w:val="2"/>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1663" w:type="dxa"/>
            <w:gridSpan w:val="3"/>
            <w:tcBorders>
              <w:top w:val="single" w:sz="6" w:space="0" w:color="000000"/>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(расшифровка подписи)</w:t>
            </w:r>
          </w:p>
        </w:tc>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696" w:type="dxa"/>
            <w:gridSpan w:val="8"/>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r>
      <w:tr w:rsidR="004137FE" w:rsidRPr="004137FE" w:rsidTr="004137FE">
        <w:trPr>
          <w:tblCellSpacing w:w="15" w:type="dxa"/>
        </w:trPr>
        <w:tc>
          <w:tcPr>
            <w:tcW w:w="10349" w:type="dxa"/>
            <w:gridSpan w:val="22"/>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Регистрационный номер в журнале регистрации уведомлений </w:t>
            </w:r>
          </w:p>
        </w:tc>
      </w:tr>
      <w:tr w:rsidR="004137FE" w:rsidRPr="004137FE" w:rsidTr="004137FE">
        <w:trPr>
          <w:tblCellSpacing w:w="15" w:type="dxa"/>
        </w:trPr>
        <w:tc>
          <w:tcPr>
            <w:tcW w:w="5174" w:type="dxa"/>
            <w:gridSpan w:val="11"/>
            <w:tcBorders>
              <w:top w:val="nil"/>
              <w:left w:val="nil"/>
              <w:bottom w:val="single" w:sz="6" w:space="0" w:color="000000"/>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5174" w:type="dxa"/>
            <w:gridSpan w:val="11"/>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r>
      <w:tr w:rsidR="004137FE" w:rsidRPr="004137FE" w:rsidTr="004137FE">
        <w:trPr>
          <w:tblCellSpacing w:w="15" w:type="dxa"/>
        </w:trPr>
        <w:tc>
          <w:tcPr>
            <w:tcW w:w="5174" w:type="dxa"/>
            <w:gridSpan w:val="11"/>
            <w:tcBorders>
              <w:top w:val="single" w:sz="6" w:space="0" w:color="000000"/>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5174" w:type="dxa"/>
            <w:gridSpan w:val="11"/>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r>
      <w:tr w:rsidR="004137FE" w:rsidRPr="004137FE" w:rsidTr="004137FE">
        <w:trPr>
          <w:tblCellSpacing w:w="15" w:type="dxa"/>
        </w:trPr>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w:t>
            </w:r>
          </w:p>
        </w:tc>
        <w:tc>
          <w:tcPr>
            <w:tcW w:w="554" w:type="dxa"/>
            <w:tcBorders>
              <w:top w:val="nil"/>
              <w:left w:val="nil"/>
              <w:bottom w:val="single" w:sz="6" w:space="0" w:color="000000"/>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w:t>
            </w:r>
          </w:p>
        </w:tc>
        <w:tc>
          <w:tcPr>
            <w:tcW w:w="2033" w:type="dxa"/>
            <w:gridSpan w:val="3"/>
            <w:tcBorders>
              <w:top w:val="nil"/>
              <w:left w:val="nil"/>
              <w:bottom w:val="single" w:sz="6" w:space="0" w:color="000000"/>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554" w:type="dxa"/>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 xml:space="preserve">20 </w:t>
            </w:r>
          </w:p>
        </w:tc>
        <w:tc>
          <w:tcPr>
            <w:tcW w:w="554" w:type="dxa"/>
            <w:gridSpan w:val="2"/>
            <w:tcBorders>
              <w:top w:val="nil"/>
              <w:left w:val="nil"/>
              <w:bottom w:val="single" w:sz="6" w:space="0" w:color="000000"/>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c>
          <w:tcPr>
            <w:tcW w:w="739" w:type="dxa"/>
            <w:gridSpan w:val="2"/>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t>г.</w:t>
            </w:r>
          </w:p>
        </w:tc>
        <w:tc>
          <w:tcPr>
            <w:tcW w:w="5174" w:type="dxa"/>
            <w:gridSpan w:val="11"/>
            <w:tcBorders>
              <w:top w:val="nil"/>
              <w:left w:val="nil"/>
              <w:bottom w:val="nil"/>
              <w:right w:val="nil"/>
            </w:tcBorders>
            <w:tcMar>
              <w:top w:w="15" w:type="dxa"/>
              <w:left w:w="149" w:type="dxa"/>
              <w:bottom w:w="15" w:type="dxa"/>
              <w:right w:w="149" w:type="dxa"/>
            </w:tcMar>
            <w:hideMark/>
          </w:tcPr>
          <w:p w:rsidR="004137FE" w:rsidRPr="004137FE" w:rsidRDefault="004137FE" w:rsidP="004137FE">
            <w:pPr>
              <w:spacing w:after="0" w:line="240" w:lineRule="auto"/>
              <w:rPr>
                <w:rFonts w:ascii="Times New Roman" w:eastAsia="Times New Roman" w:hAnsi="Times New Roman" w:cs="Times New Roman"/>
                <w:sz w:val="24"/>
                <w:szCs w:val="24"/>
                <w:lang w:eastAsia="ru-RU"/>
              </w:rPr>
            </w:pPr>
          </w:p>
        </w:tc>
      </w:tr>
    </w:tbl>
    <w:p w:rsidR="004137FE" w:rsidRPr="004137FE" w:rsidRDefault="004137FE" w:rsidP="004137FE">
      <w:pPr>
        <w:spacing w:before="100" w:beforeAutospacing="1" w:after="100" w:afterAutospacing="1" w:line="240" w:lineRule="auto"/>
        <w:rPr>
          <w:rFonts w:ascii="Times New Roman" w:eastAsia="Times New Roman" w:hAnsi="Times New Roman" w:cs="Times New Roman"/>
          <w:sz w:val="24"/>
          <w:szCs w:val="24"/>
          <w:lang w:eastAsia="ru-RU"/>
        </w:rPr>
      </w:pPr>
      <w:r w:rsidRPr="004137FE">
        <w:rPr>
          <w:rFonts w:ascii="Times New Roman" w:eastAsia="Times New Roman" w:hAnsi="Times New Roman" w:cs="Times New Roman"/>
          <w:sz w:val="24"/>
          <w:szCs w:val="24"/>
          <w:lang w:eastAsia="ru-RU"/>
        </w:rPr>
        <w:br/>
      </w:r>
      <w:r w:rsidRPr="004137FE">
        <w:rPr>
          <w:rFonts w:ascii="Times New Roman" w:eastAsia="Times New Roman" w:hAnsi="Times New Roman" w:cs="Times New Roman"/>
          <w:sz w:val="24"/>
          <w:szCs w:val="24"/>
          <w:lang w:eastAsia="ru-RU"/>
        </w:rPr>
        <w:br/>
      </w:r>
      <w:r w:rsidRPr="004137FE">
        <w:rPr>
          <w:rFonts w:ascii="Times New Roman" w:eastAsia="Times New Roman" w:hAnsi="Times New Roman" w:cs="Times New Roman"/>
          <w:sz w:val="24"/>
          <w:szCs w:val="24"/>
          <w:lang w:eastAsia="ru-RU"/>
        </w:rPr>
        <w:br/>
        <w:t>Электронный текст документа</w:t>
      </w:r>
      <w:r w:rsidRPr="004137FE">
        <w:rPr>
          <w:rFonts w:ascii="Times New Roman" w:eastAsia="Times New Roman" w:hAnsi="Times New Roman" w:cs="Times New Roman"/>
          <w:sz w:val="24"/>
          <w:szCs w:val="24"/>
          <w:lang w:eastAsia="ru-RU"/>
        </w:rPr>
        <w:br/>
        <w:t>подготовлен ЗАО "Кодекс" и сверен по:</w:t>
      </w:r>
      <w:r w:rsidRPr="004137FE">
        <w:rPr>
          <w:rFonts w:ascii="Times New Roman" w:eastAsia="Times New Roman" w:hAnsi="Times New Roman" w:cs="Times New Roman"/>
          <w:sz w:val="24"/>
          <w:szCs w:val="24"/>
          <w:lang w:eastAsia="ru-RU"/>
        </w:rPr>
        <w:br/>
        <w:t>Официальный интернет-портал</w:t>
      </w:r>
      <w:r w:rsidRPr="004137FE">
        <w:rPr>
          <w:rFonts w:ascii="Times New Roman" w:eastAsia="Times New Roman" w:hAnsi="Times New Roman" w:cs="Times New Roman"/>
          <w:sz w:val="24"/>
          <w:szCs w:val="24"/>
          <w:lang w:eastAsia="ru-RU"/>
        </w:rPr>
        <w:br/>
        <w:t>правовой информации</w:t>
      </w:r>
      <w:r w:rsidRPr="004137FE">
        <w:rPr>
          <w:rFonts w:ascii="Times New Roman" w:eastAsia="Times New Roman" w:hAnsi="Times New Roman" w:cs="Times New Roman"/>
          <w:sz w:val="24"/>
          <w:szCs w:val="24"/>
          <w:lang w:eastAsia="ru-RU"/>
        </w:rPr>
        <w:br/>
        <w:t>www.pravo.gov.ru,</w:t>
      </w:r>
      <w:r w:rsidRPr="004137FE">
        <w:rPr>
          <w:rFonts w:ascii="Times New Roman" w:eastAsia="Times New Roman" w:hAnsi="Times New Roman" w:cs="Times New Roman"/>
          <w:sz w:val="24"/>
          <w:szCs w:val="24"/>
          <w:lang w:eastAsia="ru-RU"/>
        </w:rPr>
        <w:br/>
        <w:t xml:space="preserve">10.01.2014 </w:t>
      </w:r>
      <w:r w:rsidRPr="004137FE">
        <w:rPr>
          <w:rFonts w:ascii="Times New Roman" w:eastAsia="Times New Roman" w:hAnsi="Times New Roman" w:cs="Times New Roman"/>
          <w:sz w:val="24"/>
          <w:szCs w:val="24"/>
          <w:lang w:eastAsia="ru-RU"/>
        </w:rPr>
        <w:br/>
        <w:t>(сканер-копия)</w:t>
      </w:r>
    </w:p>
    <w:p w:rsidR="00726756" w:rsidRDefault="00726756">
      <w:bookmarkStart w:id="0" w:name="_GoBack"/>
      <w:bookmarkEnd w:id="0"/>
    </w:p>
    <w:sectPr w:rsidR="00726756" w:rsidSect="00813C97">
      <w:pgSz w:w="11906" w:h="16838"/>
      <w:pgMar w:top="851" w:right="850"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3DE"/>
    <w:rsid w:val="003A03DE"/>
    <w:rsid w:val="004137FE"/>
    <w:rsid w:val="00726756"/>
    <w:rsid w:val="00813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3934362">
      <w:bodyDiv w:val="1"/>
      <w:marLeft w:val="0"/>
      <w:marRight w:val="0"/>
      <w:marTop w:val="0"/>
      <w:marBottom w:val="0"/>
      <w:divBdr>
        <w:top w:val="none" w:sz="0" w:space="0" w:color="auto"/>
        <w:left w:val="none" w:sz="0" w:space="0" w:color="auto"/>
        <w:bottom w:val="none" w:sz="0" w:space="0" w:color="auto"/>
        <w:right w:val="none" w:sz="0" w:space="0" w:color="auto"/>
      </w:divBdr>
      <w:divsChild>
        <w:div w:id="2114741759">
          <w:marLeft w:val="0"/>
          <w:marRight w:val="0"/>
          <w:marTop w:val="0"/>
          <w:marBottom w:val="0"/>
          <w:divBdr>
            <w:top w:val="none" w:sz="0" w:space="0" w:color="auto"/>
            <w:left w:val="none" w:sz="0" w:space="0" w:color="auto"/>
            <w:bottom w:val="none" w:sz="0" w:space="0" w:color="auto"/>
            <w:right w:val="none" w:sz="0" w:space="0" w:color="auto"/>
          </w:divBdr>
          <w:divsChild>
            <w:div w:id="1761951668">
              <w:marLeft w:val="0"/>
              <w:marRight w:val="0"/>
              <w:marTop w:val="0"/>
              <w:marBottom w:val="0"/>
              <w:divBdr>
                <w:top w:val="none" w:sz="0" w:space="0" w:color="auto"/>
                <w:left w:val="none" w:sz="0" w:space="0" w:color="auto"/>
                <w:bottom w:val="none" w:sz="0" w:space="0" w:color="auto"/>
                <w:right w:val="none" w:sz="0" w:space="0" w:color="auto"/>
              </w:divBdr>
              <w:divsChild>
                <w:div w:id="1396585318">
                  <w:marLeft w:val="0"/>
                  <w:marRight w:val="0"/>
                  <w:marTop w:val="0"/>
                  <w:marBottom w:val="0"/>
                  <w:divBdr>
                    <w:top w:val="none" w:sz="0" w:space="0" w:color="auto"/>
                    <w:left w:val="none" w:sz="0" w:space="0" w:color="auto"/>
                    <w:bottom w:val="none" w:sz="0" w:space="0" w:color="auto"/>
                    <w:right w:val="none" w:sz="0" w:space="0" w:color="auto"/>
                  </w:divBdr>
                  <w:divsChild>
                    <w:div w:id="811026816">
                      <w:marLeft w:val="0"/>
                      <w:marRight w:val="0"/>
                      <w:marTop w:val="0"/>
                      <w:marBottom w:val="0"/>
                      <w:divBdr>
                        <w:top w:val="none" w:sz="0" w:space="0" w:color="auto"/>
                        <w:left w:val="none" w:sz="0" w:space="0" w:color="auto"/>
                        <w:bottom w:val="none" w:sz="0" w:space="0" w:color="auto"/>
                        <w:right w:val="none" w:sz="0" w:space="0" w:color="auto"/>
                      </w:divBdr>
                      <w:divsChild>
                        <w:div w:id="1519125742">
                          <w:marLeft w:val="0"/>
                          <w:marRight w:val="0"/>
                          <w:marTop w:val="0"/>
                          <w:marBottom w:val="0"/>
                          <w:divBdr>
                            <w:top w:val="none" w:sz="0" w:space="0" w:color="auto"/>
                            <w:left w:val="none" w:sz="0" w:space="0" w:color="auto"/>
                            <w:bottom w:val="none" w:sz="0" w:space="0" w:color="auto"/>
                            <w:right w:val="none" w:sz="0" w:space="0" w:color="auto"/>
                          </w:divBdr>
                          <w:divsChild>
                            <w:div w:id="2065248322">
                              <w:marLeft w:val="0"/>
                              <w:marRight w:val="0"/>
                              <w:marTop w:val="0"/>
                              <w:marBottom w:val="0"/>
                              <w:divBdr>
                                <w:top w:val="none" w:sz="0" w:space="0" w:color="auto"/>
                                <w:left w:val="none" w:sz="0" w:space="0" w:color="auto"/>
                                <w:bottom w:val="none" w:sz="0" w:space="0" w:color="auto"/>
                                <w:right w:val="none" w:sz="0" w:space="0" w:color="auto"/>
                              </w:divBdr>
                              <w:divsChild>
                                <w:div w:id="250547581">
                                  <w:marLeft w:val="0"/>
                                  <w:marRight w:val="0"/>
                                  <w:marTop w:val="0"/>
                                  <w:marBottom w:val="0"/>
                                  <w:divBdr>
                                    <w:top w:val="none" w:sz="0" w:space="0" w:color="auto"/>
                                    <w:left w:val="none" w:sz="0" w:space="0" w:color="auto"/>
                                    <w:bottom w:val="none" w:sz="0" w:space="0" w:color="auto"/>
                                    <w:right w:val="none" w:sz="0" w:space="0" w:color="auto"/>
                                  </w:divBdr>
                                  <w:divsChild>
                                    <w:div w:id="528760423">
                                      <w:marLeft w:val="0"/>
                                      <w:marRight w:val="0"/>
                                      <w:marTop w:val="0"/>
                                      <w:marBottom w:val="0"/>
                                      <w:divBdr>
                                        <w:top w:val="none" w:sz="0" w:space="0" w:color="auto"/>
                                        <w:left w:val="none" w:sz="0" w:space="0" w:color="auto"/>
                                        <w:bottom w:val="none" w:sz="0" w:space="0" w:color="auto"/>
                                        <w:right w:val="none" w:sz="0" w:space="0" w:color="auto"/>
                                      </w:divBdr>
                                      <w:divsChild>
                                        <w:div w:id="407456805">
                                          <w:marLeft w:val="1050"/>
                                          <w:marRight w:val="675"/>
                                          <w:marTop w:val="0"/>
                                          <w:marBottom w:val="0"/>
                                          <w:divBdr>
                                            <w:top w:val="none" w:sz="0" w:space="0" w:color="auto"/>
                                            <w:left w:val="none" w:sz="0" w:space="0" w:color="auto"/>
                                            <w:bottom w:val="none" w:sz="0" w:space="0" w:color="auto"/>
                                            <w:right w:val="none" w:sz="0" w:space="0" w:color="auto"/>
                                          </w:divBdr>
                                        </w:div>
                                        <w:div w:id="910165722">
                                          <w:marLeft w:val="1050"/>
                                          <w:marRight w:val="675"/>
                                          <w:marTop w:val="0"/>
                                          <w:marBottom w:val="0"/>
                                          <w:divBdr>
                                            <w:top w:val="none" w:sz="0" w:space="0" w:color="auto"/>
                                            <w:left w:val="none" w:sz="0" w:space="0" w:color="auto"/>
                                            <w:bottom w:val="none" w:sz="0" w:space="0" w:color="auto"/>
                                            <w:right w:val="none" w:sz="0" w:space="0" w:color="auto"/>
                                          </w:divBdr>
                                        </w:div>
                                        <w:div w:id="1352993101">
                                          <w:marLeft w:val="1050"/>
                                          <w:marRight w:val="675"/>
                                          <w:marTop w:val="0"/>
                                          <w:marBottom w:val="0"/>
                                          <w:divBdr>
                                            <w:top w:val="none" w:sz="0" w:space="0" w:color="auto"/>
                                            <w:left w:val="none" w:sz="0" w:space="0" w:color="auto"/>
                                            <w:bottom w:val="none" w:sz="0" w:space="0" w:color="auto"/>
                                            <w:right w:val="none" w:sz="0" w:space="0" w:color="auto"/>
                                          </w:divBdr>
                                        </w:div>
                                        <w:div w:id="25926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499069148" TargetMode="External"/><Relationship Id="rId13" Type="http://schemas.openxmlformats.org/officeDocument/2006/relationships/hyperlink" Target="http://docs.cntd.ru/document/499069148" TargetMode="External"/><Relationship Id="rId3" Type="http://schemas.openxmlformats.org/officeDocument/2006/relationships/settings" Target="settings.xml"/><Relationship Id="rId7" Type="http://schemas.openxmlformats.org/officeDocument/2006/relationships/hyperlink" Target="http://docs.cntd.ru/document/499069148" TargetMode="External"/><Relationship Id="rId12" Type="http://schemas.openxmlformats.org/officeDocument/2006/relationships/hyperlink" Target="http://docs.cntd.ru/document/499069148"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docs.cntd.ru/document/902333891" TargetMode="External"/><Relationship Id="rId11" Type="http://schemas.openxmlformats.org/officeDocument/2006/relationships/hyperlink" Target="http://docs.cntd.ru/document/499069148" TargetMode="External"/><Relationship Id="rId5" Type="http://schemas.openxmlformats.org/officeDocument/2006/relationships/hyperlink" Target="http://docs.cntd.ru/document/902333891" TargetMode="External"/><Relationship Id="rId15" Type="http://schemas.openxmlformats.org/officeDocument/2006/relationships/theme" Target="theme/theme1.xml"/><Relationship Id="rId10" Type="http://schemas.openxmlformats.org/officeDocument/2006/relationships/hyperlink" Target="http://docs.cntd.ru/document/499069148" TargetMode="External"/><Relationship Id="rId4" Type="http://schemas.openxmlformats.org/officeDocument/2006/relationships/webSettings" Target="webSettings.xml"/><Relationship Id="rId9" Type="http://schemas.openxmlformats.org/officeDocument/2006/relationships/hyperlink" Target="http://docs.cntd.ru/document/49906914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1995</Words>
  <Characters>11374</Characters>
  <Application>Microsoft Office Word</Application>
  <DocSecurity>0</DocSecurity>
  <Lines>94</Lines>
  <Paragraphs>26</Paragraphs>
  <ScaleCrop>false</ScaleCrop>
  <Company>*</Company>
  <LinksUpToDate>false</LinksUpToDate>
  <CharactersWithSpaces>13343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Elena</cp:lastModifiedBy>
  <cp:revision>3</cp:revision>
  <dcterms:created xsi:type="dcterms:W3CDTF">2014-02-24T06:04:00Z</dcterms:created>
  <dcterms:modified xsi:type="dcterms:W3CDTF">2014-02-24T06:05:00Z</dcterms:modified>
</cp:coreProperties>
</file>